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5D" w:rsidP="0003110B" w:rsidRDefault="0083675D">
      <w:r>
        <w:rPr>
          <w:noProof/>
          <w:lang w:eastAsia="tr-TR"/>
        </w:rPr>
        <mc:AlternateContent>
          <mc:Choice Requires="wps">
            <w:drawing>
              <wp:anchor distT="0" distB="0" distL="0" distR="0" simplePos="0" relativeHeight="251659264" behindDoc="1" locked="0" layoutInCell="1" hidden="0" allowOverlap="1" wp14:editId="7FD1AC0C" wp14:anchorId="55858F27">
                <wp:simplePos x="0" y="0"/>
                <wp:positionH relativeFrom="margin">
                  <wp:align>left</wp:align>
                </wp:positionH>
                <wp:positionV relativeFrom="paragraph">
                  <wp:posOffset>83185</wp:posOffset>
                </wp:positionV>
                <wp:extent cx="6096000" cy="8793480"/>
                <wp:effectExtent l="19050" t="19050" r="38100" b="45720"/>
                <wp:wrapNone/>
                <wp:docPr id="5" name="Dikdörtgen 5"/>
                <wp:cNvGraphicFramePr/>
                <a:graphic xmlns:a="http://schemas.openxmlformats.org/drawingml/2006/main">
                  <a:graphicData uri="http://schemas.microsoft.com/office/word/2010/wordprocessingShape">
                    <wps:wsp>
                      <wps:cNvSpPr/>
                      <wps:spPr>
                        <a:xfrm>
                          <a:off x="0" y="0"/>
                          <a:ext cx="6096000" cy="8793480"/>
                        </a:xfrm>
                        <a:prstGeom prst="rect">
                          <a:avLst/>
                        </a:prstGeom>
                        <a:solidFill>
                          <a:schemeClr val="lt1"/>
                        </a:solidFill>
                        <a:ln w="57150" cap="flat" cmpd="sng">
                          <a:solidFill>
                            <a:srgbClr val="2F5496"/>
                          </a:solidFill>
                          <a:prstDash val="solid"/>
                          <a:miter lim="800000"/>
                          <a:headEnd type="none" w="sm" len="sm"/>
                          <a:tailEnd type="none" w="sm" len="sm"/>
                        </a:ln>
                      </wps:spPr>
                      <wps:txbx>
                        <w:txbxContent>
                          <w:p w:rsidR="0083675D" w:rsidP="0083675D" w:rsidRDefault="0083675D">
                            <w:pPr>
                              <w:jc w:val="center"/>
                              <w:rPr>
                                <w:rFonts w:ascii="Times New Roman" w:hAnsi="Times New Roman" w:eastAsia="Times New Roman" w:cs="Times New Roman"/>
                                <w:sz w:val="52"/>
                                <w:szCs w:val="52"/>
                              </w:rPr>
                            </w:pPr>
                          </w:p>
                          <w:p w:rsidR="0007417C" w:rsidP="0083675D" w:rsidRDefault="0007417C">
                            <w:pPr>
                              <w:pStyle w:val="Balk1"/>
                              <w:spacing w:after="206"/>
                              <w:jc w:val="center"/>
                              <w:rPr>
                                <w:rFonts w:ascii="Times New Roman" w:hAnsi="Times New Roman" w:eastAsia="Times New Roman" w:cs="Times New Roman"/>
                                <w:color w:val="000000"/>
                                <w:sz w:val="52"/>
                                <w:szCs w:val="52"/>
                              </w:rPr>
                            </w:pPr>
                          </w:p>
                          <w:p w:rsidR="0007417C" w:rsidP="0083675D" w:rsidRDefault="0007417C">
                            <w:pPr>
                              <w:pStyle w:val="Balk1"/>
                              <w:spacing w:after="206"/>
                              <w:jc w:val="center"/>
                              <w:rPr>
                                <w:rFonts w:ascii="Times New Roman" w:hAnsi="Times New Roman" w:eastAsia="Times New Roman" w:cs="Times New Roman"/>
                                <w:color w:val="000000"/>
                                <w:sz w:val="52"/>
                                <w:szCs w:val="52"/>
                              </w:rPr>
                            </w:pPr>
                          </w:p>
                          <w:p w:rsidR="0083675D" w:rsidP="0083675D" w:rsidRDefault="0083675D">
                            <w:pPr>
                              <w:pStyle w:val="Balk1"/>
                              <w:spacing w:after="206"/>
                              <w:jc w:val="center"/>
                              <w:rPr>
                                <w:rFonts w:ascii="Times New Roman" w:hAnsi="Times New Roman" w:eastAsia="Times New Roman" w:cs="Times New Roman"/>
                                <w:color w:val="000000"/>
                                <w:sz w:val="52"/>
                                <w:szCs w:val="52"/>
                              </w:rPr>
                            </w:pPr>
                            <w:r>
                              <w:rPr>
                                <w:rFonts w:ascii="Times New Roman" w:hAnsi="Times New Roman" w:eastAsia="Times New Roman" w:cs="Times New Roman"/>
                                <w:color w:val="000000"/>
                                <w:sz w:val="52"/>
                                <w:szCs w:val="52"/>
                              </w:rPr>
                              <w:t xml:space="preserve">ISTEK ÖZEL </w:t>
                            </w:r>
                            <w:r w:rsidRPr="00CD309C">
                              <w:rPr>
                                <w:rFonts w:ascii="Times New Roman" w:hAnsi="Times New Roman" w:eastAsia="Times New Roman" w:cs="Times New Roman"/>
                                <w:color w:val="000000"/>
                                <w:sz w:val="52"/>
                                <w:szCs w:val="52"/>
                              </w:rPr>
                              <w:t xml:space="preserve">ATANUR </w:t>
                            </w:r>
                            <w:r>
                              <w:rPr>
                                <w:rFonts w:ascii="Times New Roman" w:hAnsi="Times New Roman" w:eastAsia="Times New Roman" w:cs="Times New Roman"/>
                                <w:color w:val="000000"/>
                                <w:sz w:val="52"/>
                                <w:szCs w:val="52"/>
                              </w:rPr>
                              <w:t xml:space="preserve">OGUZ ANAOKULU VE İLKOKULU</w:t>
                            </w:r>
                          </w:p>
                          <w:p w:rsidR="0083675D" w:rsidP="0083675D" w:rsidRDefault="0083675D">
                            <w:pPr>
                              <w:jc w:val="center"/>
                              <w:rPr>
                                <w:rFonts w:ascii="Times New Roman" w:hAnsi="Times New Roman" w:eastAsia="Times New Roman" w:cs="Times New Roman"/>
                                <w:sz w:val="52"/>
                                <w:szCs w:val="52"/>
                              </w:rPr>
                            </w:pPr>
                          </w:p>
                          <w:p w:rsidR="0083675D" w:rsidP="0083675D" w:rsidRDefault="0083675D">
                            <w:pPr>
                              <w:jc w:val="center"/>
                              <w:rPr>
                                <w:rFonts w:ascii="Times New Roman" w:hAnsi="Times New Roman" w:eastAsia="Times New Roman" w:cs="Times New Roman"/>
                                <w:sz w:val="52"/>
                                <w:szCs w:val="52"/>
                              </w:rPr>
                            </w:pPr>
                          </w:p>
                          <w:p w:rsidR="0083675D" w:rsidP="0083675D" w:rsidRDefault="0083675D">
                            <w:pPr>
                              <w:pStyle w:val="Balk1"/>
                              <w:spacing w:after="206"/>
                              <w:jc w:val="center"/>
                              <w:rPr>
                                <w:rFonts w:ascii="Times New Roman" w:hAnsi="Times New Roman" w:eastAsia="Times New Roman" w:cs="Times New Roman"/>
                                <w:b w:val="0"/>
                                <w:bCs w:val="0"/>
                                <w:color w:val="000000"/>
                                <w:sz w:val="52"/>
                                <w:szCs w:val="52"/>
                              </w:rPr>
                            </w:pPr>
                            <w:r>
                              <w:rPr>
                                <w:rFonts w:ascii="Times New Roman" w:hAnsi="Times New Roman" w:eastAsia="Times New Roman" w:cs="Times New Roman"/>
                                <w:b w:val="0"/>
                                <w:bCs w:val="0"/>
                                <w:color w:val="000000"/>
                                <w:sz w:val="52"/>
                                <w:szCs w:val="52"/>
                              </w:rPr>
                              <w:t xml:space="preserve">ULUSLARARASI BACCALAUREATE </w:t>
                            </w:r>
                            <w:r w:rsidRPr="00C25877">
                              <w:rPr>
                                <w:rFonts w:ascii="Times New Roman" w:hAnsi="Times New Roman" w:eastAsia="Times New Roman" w:cs="Times New Roman"/>
                                <w:bCs w:val="0"/>
                                <w:color w:val="000000"/>
                                <w:sz w:val="52"/>
                                <w:szCs w:val="52"/>
                              </w:rPr>
                              <w:t xml:space="preserve">PYP </w:t>
                            </w:r>
                            <w:r>
                              <w:rPr>
                                <w:rFonts w:ascii="Times New Roman" w:hAnsi="Times New Roman" w:eastAsia="Times New Roman" w:cs="Times New Roman"/>
                                <w:b w:val="0"/>
                                <w:bCs w:val="0"/>
                                <w:color w:val="000000"/>
                                <w:sz w:val="52"/>
                                <w:szCs w:val="52"/>
                              </w:rPr>
                              <w:t xml:space="preserve">PROGRAMI </w:t>
                            </w:r>
                          </w:p>
                          <w:p w:rsidR="0083675D" w:rsidP="0083675D" w:rsidRDefault="0007417C">
                            <w:pPr>
                              <w:pStyle w:val="Balk1"/>
                              <w:spacing w:after="206"/>
                              <w:jc w:val="center"/>
                              <w:rPr>
                                <w:rFonts w:ascii="Times New Roman" w:hAnsi="Times New Roman" w:eastAsia="Times New Roman" w:cs="Times New Roman"/>
                                <w:color w:val="000000"/>
                                <w:sz w:val="24"/>
                                <w:szCs w:val="24"/>
                              </w:rPr>
                            </w:pPr>
                            <w:r w:rsidRPr="0007417C">
                              <w:rPr>
                                <w:rFonts w:ascii="Times New Roman" w:hAnsi="Times New Roman" w:eastAsia="Times New Roman" w:cs="Times New Roman"/>
                                <w:b w:val="0"/>
                                <w:bCs w:val="0"/>
                                <w:color w:val="000000"/>
                                <w:sz w:val="52"/>
                                <w:szCs w:val="52"/>
                                <w:lang w:val="tr-TR"/>
                              </w:rPr>
                              <w:t xml:space="preserve">KATILIM </w:t>
                            </w:r>
                            <w:r w:rsidR="0083675D">
                              <w:rPr>
                                <w:rFonts w:ascii="Times New Roman" w:hAnsi="Times New Roman" w:eastAsia="Times New Roman" w:cs="Times New Roman"/>
                                <w:b w:val="0"/>
                                <w:bCs w:val="0"/>
                                <w:color w:val="000000"/>
                                <w:sz w:val="52"/>
                                <w:szCs w:val="52"/>
                              </w:rPr>
                              <w:t xml:space="preserve">POLİTİKASI </w:t>
                            </w: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Dikdörtgen 5" style="position:absolute;margin-left:0;margin-top:6.55pt;width:480pt;height:692.4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2f5496"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qyNQIAAGoEAAAOAAAAZHJzL2Uyb0RvYy54bWysVG2O0zAQ/Y/EHSz/p0lK222jpiu0pQhp&#10;BZUWDjB1nMTCX9huk16MC3Axxm5pu4CEhPjjzjjjmffezHR5PyhJDtx5YXRFi1FOCdfM1EK3Ff38&#10;afNqTokPoGuQRvOKHrmn96uXL5a9LfnYdEbW3BFMon3Z24p2IdgyyzzruAI/MpZr/NgYpyCg69qs&#10;dtBjdiWzcZ7Pst642jrDuPd4uz59pKuUv2k4Cx+bxvNAZEURW0inS+cuntlqCWXrwHaCnWHAP6BQ&#10;IDQWvaRaQwCyd+K3VEowZ7xpwogZlZmmEYwnDsimyH9h89SB5YkLiuPtRSb//9KyD4etI6Ku6JQS&#10;DQpbtBZf6u/fXGi5JtMoUG99iXFPduvOnkczsh0ap+Iv8iBDEvV4EZUPgTC8nOWLWZ6j9gy/ze8W&#10;ryfzJHt2fW6dD++4USQaFXXYtSQmHB59wJIY+jMkVvNGinojpExOnBT+IB05APZYhiJCxhfPoqQm&#10;PVK8K6YRCOCgNRICmsoida/bVO/ZE+/a3SXteDOdLGZ/yhyBrcF3p/IpQwyDUomAky2FQtbIHxVI&#10;1x2H+q2uSTha1FrjUtAIzStKJMcVQiPFBRDy73HIU2qkG1t0akq0wrAbMEk0d6Y+YoO9ZRuBSB/B&#10;hy04HPECy+LYY8Gve3AIQr7XOFeLYjLGSQi3jrt1drcOaNYZ3CYWHCUn5yGk7YoKaPNmH0wjUguv&#10;YM5wcaBTn87LFzfm1k9R17+I1Q8AAAD//wMAUEsDBBQABgAIAAAAIQA9dBwB3gAAAAgBAAAPAAAA&#10;ZHJzL2Rvd25yZXYueG1sTI/BTsMwEETvSPyDtUjcqBMQAYc4FSBaiUuhBVFxc+IliYjXUey24e/Z&#10;nuC4b0azM8V8cr3Y4xg6TxrSWQICqfa2o0bD+9vi4hZEiIas6T2hhh8MMC9PTwqTW3+gNe43sREc&#10;QiE3GtoYh1zKULfoTJj5AYm1Lz86E/kcG2lHc+Bw18vLJMmkMx3xh9YM+Nhi/b3ZOQ1LtaJMLatt&#10;+vy6+tiunz5fFg/XWp+fTfd3ICJO8c8Mx/pcHUruVPkd2SB6DTwkMr1KQbCqsoRBdQTqRoEsC/l/&#10;QPkLAAD//wMAUEsBAi0AFAAGAAgAAAAhALaDOJL+AAAA4QEAABMAAAAAAAAAAAAAAAAAAAAAAFtD&#10;b250ZW50X1R5cGVzXS54bWxQSwECLQAUAAYACAAAACEAOP0h/9YAAACUAQAACwAAAAAAAAAAAAAA&#10;AAAvAQAAX3JlbHMvLnJlbHNQSwECLQAUAAYACAAAACEAQFaKsjUCAABqBAAADgAAAAAAAAAAAAAA&#10;AAAuAgAAZHJzL2Uyb0RvYy54bWxQSwECLQAUAAYACAAAACEAPXQcAd4AAAAIAQAADwAAAAAAAAAA&#10;AAAAAACPBAAAZHJzL2Rvd25yZXYueG1sUEsFBgAAAAAEAAQA8wAAAJoFAAAAAA==&#10;" w14:anchorId="55858F27">
                <v:stroke startarrowwidth="narrow" startarrowlength="short" endarrowwidth="narrow" endarrowlength="short"/>
                <v:textbox inset="2.53958mm,2.53958mm,2.53958mm,2.53958mm">
                  <w:txbxContent>
                    <w:p w:rsidR="0083675D" w:rsidP="0083675D" w:rsidRDefault="0083675D">
                      <w:pPr>
                        <w:jc w:val="center"/>
                        <w:rPr>
                          <w:rFonts w:ascii="Times New Roman" w:hAnsi="Times New Roman" w:eastAsia="Times New Roman" w:cs="Times New Roman"/>
                          <w:sz w:val="52"/>
                          <w:szCs w:val="52"/>
                        </w:rPr>
                      </w:pPr>
                    </w:p>
                    <w:p w:rsidR="0007417C" w:rsidP="0083675D" w:rsidRDefault="0007417C">
                      <w:pPr>
                        <w:pStyle w:val="Balk1"/>
                        <w:spacing w:after="206"/>
                        <w:jc w:val="center"/>
                        <w:rPr>
                          <w:rFonts w:ascii="Times New Roman" w:hAnsi="Times New Roman" w:eastAsia="Times New Roman" w:cs="Times New Roman"/>
                          <w:color w:val="000000"/>
                          <w:sz w:val="52"/>
                          <w:szCs w:val="52"/>
                        </w:rPr>
                      </w:pPr>
                    </w:p>
                    <w:p w:rsidR="0007417C" w:rsidP="0083675D" w:rsidRDefault="0007417C">
                      <w:pPr>
                        <w:pStyle w:val="Balk1"/>
                        <w:spacing w:after="206"/>
                        <w:jc w:val="center"/>
                        <w:rPr>
                          <w:rFonts w:ascii="Times New Roman" w:hAnsi="Times New Roman" w:eastAsia="Times New Roman" w:cs="Times New Roman"/>
                          <w:color w:val="000000"/>
                          <w:sz w:val="52"/>
                          <w:szCs w:val="52"/>
                        </w:rPr>
                      </w:pPr>
                    </w:p>
                    <w:p w:rsidR="0083675D" w:rsidP="0083675D" w:rsidRDefault="0083675D">
                      <w:pPr>
                        <w:pStyle w:val="Balk1"/>
                        <w:spacing w:after="206"/>
                        <w:jc w:val="center"/>
                        <w:rPr>
                          <w:rFonts w:ascii="Times New Roman" w:hAnsi="Times New Roman" w:eastAsia="Times New Roman" w:cs="Times New Roman"/>
                          <w:color w:val="000000"/>
                          <w:sz w:val="52"/>
                          <w:szCs w:val="52"/>
                        </w:rPr>
                      </w:pPr>
                      <w:r>
                        <w:rPr>
                          <w:rFonts w:ascii="Times New Roman" w:hAnsi="Times New Roman" w:eastAsia="Times New Roman" w:cs="Times New Roman"/>
                          <w:color w:val="000000"/>
                          <w:sz w:val="52"/>
                          <w:szCs w:val="52"/>
                        </w:rPr>
                        <w:t xml:space="preserve">ISTEK ÖZEL </w:t>
                      </w:r>
                      <w:r w:rsidRPr="00CD309C">
                        <w:rPr>
                          <w:rFonts w:ascii="Times New Roman" w:hAnsi="Times New Roman" w:eastAsia="Times New Roman" w:cs="Times New Roman"/>
                          <w:color w:val="000000"/>
                          <w:sz w:val="52"/>
                          <w:szCs w:val="52"/>
                        </w:rPr>
                        <w:t xml:space="preserve">ATANUR </w:t>
                      </w:r>
                      <w:r>
                        <w:rPr>
                          <w:rFonts w:ascii="Times New Roman" w:hAnsi="Times New Roman" w:eastAsia="Times New Roman" w:cs="Times New Roman"/>
                          <w:color w:val="000000"/>
                          <w:sz w:val="52"/>
                          <w:szCs w:val="52"/>
                        </w:rPr>
                        <w:t xml:space="preserve">OĞUZ ANAOKULU VE İLKOKULU</w:t>
                      </w:r>
                    </w:p>
                    <w:p w:rsidR="0083675D" w:rsidP="0083675D" w:rsidRDefault="0083675D">
                      <w:pPr>
                        <w:jc w:val="center"/>
                        <w:rPr>
                          <w:rFonts w:ascii="Times New Roman" w:hAnsi="Times New Roman" w:eastAsia="Times New Roman" w:cs="Times New Roman"/>
                          <w:sz w:val="52"/>
                          <w:szCs w:val="52"/>
                        </w:rPr>
                      </w:pPr>
                    </w:p>
                    <w:p w:rsidR="0083675D" w:rsidP="0083675D" w:rsidRDefault="0083675D">
                      <w:pPr>
                        <w:jc w:val="center"/>
                        <w:rPr>
                          <w:rFonts w:ascii="Times New Roman" w:hAnsi="Times New Roman" w:eastAsia="Times New Roman" w:cs="Times New Roman"/>
                          <w:sz w:val="52"/>
                          <w:szCs w:val="52"/>
                        </w:rPr>
                      </w:pPr>
                    </w:p>
                    <w:p w:rsidR="0083675D" w:rsidP="0083675D" w:rsidRDefault="0083675D">
                      <w:pPr>
                        <w:pStyle w:val="Balk1"/>
                        <w:spacing w:after="206"/>
                        <w:jc w:val="center"/>
                        <w:rPr>
                          <w:rFonts w:ascii="Times New Roman" w:hAnsi="Times New Roman" w:eastAsia="Times New Roman" w:cs="Times New Roman"/>
                          <w:b w:val="0"/>
                          <w:bCs w:val="0"/>
                          <w:color w:val="000000"/>
                          <w:sz w:val="52"/>
                          <w:szCs w:val="52"/>
                        </w:rPr>
                      </w:pPr>
                      <w:r>
                        <w:rPr>
                          <w:rFonts w:ascii="Times New Roman" w:hAnsi="Times New Roman" w:eastAsia="Times New Roman" w:cs="Times New Roman"/>
                          <w:b w:val="0"/>
                          <w:bCs w:val="0"/>
                          <w:color w:val="000000"/>
                          <w:sz w:val="52"/>
                          <w:szCs w:val="52"/>
                        </w:rPr>
                        <w:t xml:space="preserve">ULUSLARARASI BACCALAUREATE </w:t>
                      </w:r>
                      <w:r w:rsidRPr="00C25877">
                        <w:rPr>
                          <w:rFonts w:ascii="Times New Roman" w:hAnsi="Times New Roman" w:eastAsia="Times New Roman" w:cs="Times New Roman"/>
                          <w:bCs w:val="0"/>
                          <w:color w:val="000000"/>
                          <w:sz w:val="52"/>
                          <w:szCs w:val="52"/>
                        </w:rPr>
                        <w:t xml:space="preserve">PYP </w:t>
                      </w:r>
                      <w:r>
                        <w:rPr>
                          <w:rFonts w:ascii="Times New Roman" w:hAnsi="Times New Roman" w:eastAsia="Times New Roman" w:cs="Times New Roman"/>
                          <w:b w:val="0"/>
                          <w:bCs w:val="0"/>
                          <w:color w:val="000000"/>
                          <w:sz w:val="52"/>
                          <w:szCs w:val="52"/>
                        </w:rPr>
                        <w:t xml:space="preserve">PROGRAMI </w:t>
                      </w:r>
                    </w:p>
                    <w:p w:rsidR="0083675D" w:rsidP="0083675D" w:rsidRDefault="0007417C">
                      <w:pPr>
                        <w:pStyle w:val="Balk1"/>
                        <w:spacing w:after="206"/>
                        <w:jc w:val="center"/>
                        <w:rPr>
                          <w:rFonts w:ascii="Times New Roman" w:hAnsi="Times New Roman" w:eastAsia="Times New Roman" w:cs="Times New Roman"/>
                          <w:color w:val="000000"/>
                          <w:sz w:val="24"/>
                          <w:szCs w:val="24"/>
                        </w:rPr>
                      </w:pPr>
                      <w:r w:rsidRPr="0007417C">
                        <w:rPr>
                          <w:rFonts w:ascii="Times New Roman" w:hAnsi="Times New Roman" w:eastAsia="Times New Roman" w:cs="Times New Roman"/>
                          <w:b w:val="0"/>
                          <w:bCs w:val="0"/>
                          <w:color w:val="000000"/>
                          <w:sz w:val="52"/>
                          <w:szCs w:val="52"/>
                          <w:lang w:val="tr-TR"/>
                        </w:rPr>
                        <w:t xml:space="preserve">KATILIM </w:t>
                      </w:r>
                      <w:r w:rsidR="0083675D">
                        <w:rPr>
                          <w:rFonts w:ascii="Times New Roman" w:hAnsi="Times New Roman" w:eastAsia="Times New Roman" w:cs="Times New Roman"/>
                          <w:b w:val="0"/>
                          <w:bCs w:val="0"/>
                          <w:color w:val="000000"/>
                          <w:sz w:val="52"/>
                          <w:szCs w:val="52"/>
                        </w:rPr>
                        <w:t xml:space="preserve">POLİTİKASI </w:t>
                      </w: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p w:rsidR="0083675D" w:rsidP="0083675D" w:rsidRDefault="0083675D">
                      <w:pPr>
                        <w:textDirection w:val="btLr"/>
                      </w:pPr>
                    </w:p>
                  </w:txbxContent>
                </v:textbox>
                <w10:wrap anchorx="margin"/>
              </v:rect>
            </w:pict>
          </mc:Fallback>
        </mc:AlternateContent>
      </w:r>
    </w:p>
    <w:p w:rsidR="0083675D" w:rsidRDefault="0083675D">
      <w:r>
        <w:br w:type="page"/>
      </w:r>
    </w:p>
    <w:p w:rsidR="0003110B" w:rsidP="0003110B" w:rsidRDefault="0003110B"/>
    <w:p w:rsidRPr="0003110B" w:rsidR="0003110B" w:rsidP="0003110B" w:rsidRDefault="0007417C">
      <w:pPr>
        <w:ind w:start="708" w:firstLine="708"/>
        <w:rPr>
          <w:b/>
        </w:rPr>
      </w:pPr>
      <w:r>
        <w:rPr>
          <w:b/>
        </w:rPr>
        <w:t xml:space="preserve">  </w:t>
      </w:r>
      <w:r w:rsidRPr="0003110B" w:rsidR="0003110B">
        <w:rPr>
          <w:b/>
        </w:rPr>
        <w:t xml:space="preserve">İSTEK ATANUR OĞUZ ANAOKULU VE İLKOKULU</w:t>
      </w:r>
    </w:p>
    <w:p w:rsidRPr="0003110B" w:rsidR="0003110B" w:rsidP="0003110B" w:rsidRDefault="0003110B">
      <w:pPr>
        <w:ind w:start="2832"/>
        <w:rPr>
          <w:b/>
        </w:rPr>
      </w:pPr>
      <w:r w:rsidR="0007417C">
        <w:rPr>
          <w:b/>
        </w:rPr>
        <w:t xml:space="preserve">   </w:t>
      </w:r>
      <w:r w:rsidR="0007417C">
        <w:rPr>
          <w:b/>
        </w:rPr>
        <w:t xml:space="preserve">  </w:t>
      </w:r>
      <w:r w:rsidRPr="0003110B">
        <w:rPr>
          <w:b/>
        </w:rPr>
        <w:t xml:space="preserve">  KATILIM POLİTİKASI</w:t>
      </w:r>
    </w:p>
    <w:p w:rsidRPr="0003110B" w:rsidR="0003110B" w:rsidP="0003110B" w:rsidRDefault="0003110B">
      <w:pPr>
        <w:rPr>
          <w:b/>
        </w:rPr>
      </w:pPr>
    </w:p>
    <w:p w:rsidRPr="0003110B" w:rsidR="0003110B" w:rsidP="0003110B" w:rsidRDefault="0003110B">
      <w:pPr>
        <w:rPr>
          <w:b/>
        </w:rPr>
      </w:pPr>
      <w:r w:rsidRPr="0003110B">
        <w:rPr>
          <w:b/>
        </w:rPr>
        <w:t xml:space="preserve">Felsefe</w:t>
      </w:r>
    </w:p>
    <w:p w:rsidR="0003110B" w:rsidP="0003110B" w:rsidRDefault="0003110B">
      <w:r>
        <w:t xml:space="preserve">İSTEK Atanur Oğuz Anaokulu ve İlkokullarının kapsayıcılık politikası, eğitim uygulamalarımızın cinsiyet, etnik köken, dil, din, ikamet yeri, sağlık durumu, sosyo-ekonomik </w:t>
      </w:r>
      <w:r>
        <w:t xml:space="preserve">durum </w:t>
      </w:r>
      <w:r>
        <w:t xml:space="preserve">veya diğer koşullar </w:t>
      </w:r>
      <w:r>
        <w:t xml:space="preserve">gözetilmeksizin tüm çocukların ihtiyaçlarını karşılayacak şekilde yeniden tasarlanmasını sağlayan bir süreçtir</w:t>
      </w:r>
      <w:r>
        <w:t xml:space="preserve">.</w:t>
      </w:r>
    </w:p>
    <w:p w:rsidR="0003110B" w:rsidP="0003110B" w:rsidRDefault="0003110B">
      <w:r>
        <w:t xml:space="preserve">Okullarımız, öğrencilerin bireysel farklılıklarını tanıyarak ve değer vererek, tüm seviyelerdeki öğrencilere eşit öğrenme fırsatları sunar. Bu yaklaşımda, tüm okul topluluğu IB Öğrenci Profili ilkelerinden yararlanır.</w:t>
      </w:r>
    </w:p>
    <w:p w:rsidRPr="0003110B" w:rsidR="0003110B" w:rsidP="0003110B" w:rsidRDefault="0003110B">
      <w:pPr>
        <w:rPr>
          <w:b/>
        </w:rPr>
      </w:pPr>
    </w:p>
    <w:p w:rsidRPr="0003110B" w:rsidR="0003110B" w:rsidP="0003110B" w:rsidRDefault="0003110B">
      <w:pPr>
        <w:rPr>
          <w:b/>
        </w:rPr>
      </w:pPr>
      <w:r w:rsidRPr="0003110B">
        <w:rPr>
          <w:b/>
        </w:rPr>
        <w:t xml:space="preserve">ULUSAL-ULUSLARARASI YASAL GEREKLİLİKLER</w:t>
      </w:r>
    </w:p>
    <w:p w:rsidRPr="00AF4782" w:rsidR="0003110B" w:rsidP="0003110B" w:rsidRDefault="0003110B">
      <w:pPr>
        <w:rPr>
          <w:b/>
        </w:rPr>
      </w:pPr>
      <w:r w:rsidRPr="00AF4782">
        <w:rPr>
          <w:b/>
        </w:rPr>
        <w:t xml:space="preserve">UNESCO'nun (2005) kapsayıcı eğitim tanımı:</w:t>
      </w:r>
    </w:p>
    <w:p w:rsidR="0003110B" w:rsidP="0003110B" w:rsidRDefault="0003110B">
      <w:r>
        <w:t xml:space="preserve">“Kapsayıcı eğitim, tüm öğrenenlerin, kültürlerin ve toplulukların çeşitli ihtiyaçlarına, öğrenmeye katılımlarını artırarak ve eğitim sistemi içindeki ayrımcılığı azaltarak yanıt verme sürecidir. Bu süreç, tüm okul çağındaki çocukları kapsayan ortak bir vizyon ve tüm çocukları eğitmenin hükümetlerin sorumluluğu olduğu inancına dayanan içerik, yaklaşım, yapı ve stratejilerde önemli değişiklikler içerir.”</w:t>
      </w:r>
    </w:p>
    <w:p w:rsidR="0003110B" w:rsidP="0003110B" w:rsidRDefault="0003110B">
      <w:r>
        <w:t xml:space="preserve">Birleşmiş Milletler Sürdürülebilir Kalkınma Hedefleri (2015) Hedef 4: Özellikle en savunmasız ve sosyal olarak dışlanmış gruplar sürece dahil edilmedikçe, kaliteli eğitim eşit olarak değerlendirilemez.</w:t>
      </w:r>
    </w:p>
    <w:p w:rsidRPr="0003110B" w:rsidR="0003110B" w:rsidP="0003110B" w:rsidRDefault="0003110B">
      <w:pPr>
        <w:rPr>
          <w:b/>
        </w:rPr>
      </w:pPr>
      <w:r w:rsidRPr="0003110B">
        <w:rPr>
          <w:b/>
        </w:rPr>
        <w:t xml:space="preserve">Çocuk Hakları Sözleşmesi'nin 23. ve 28. maddeleri:</w:t>
      </w:r>
    </w:p>
    <w:p w:rsidR="0003110B" w:rsidP="0003110B" w:rsidRDefault="0003110B">
      <w:r w:rsidRPr="0003110B">
        <w:rPr>
          <w:b/>
        </w:rPr>
        <w:t xml:space="preserve">Madde 23: </w:t>
      </w:r>
      <w:r>
        <w:t xml:space="preserve">Taraf Devletler, zihinsel veya fiziksel engelli çocukların, onurlarını koruyan, özgüvenlerini geliştiren ve topluma aktif katılımlarını kolaylaştıran koşullarda tam bir yaşam sürme hakkını tanır.</w:t>
      </w:r>
    </w:p>
    <w:p w:rsidR="0003110B" w:rsidP="0003110B" w:rsidRDefault="0003110B">
      <w:r w:rsidRPr="0003110B">
        <w:rPr>
          <w:b/>
        </w:rPr>
        <w:t xml:space="preserve">Madde 28/1: </w:t>
      </w:r>
      <w:r>
        <w:t xml:space="preserve">Taraf Devletler, çocuğun eğitim hakkını tanır ve bu hakkın eşit fırsat temelinde aşamalı olarak gerçekleştirilmesi gerektiği görüşünü benimser.</w:t>
      </w:r>
    </w:p>
    <w:p w:rsidR="0003110B" w:rsidP="0003110B" w:rsidRDefault="0003110B">
      <w:r>
        <w:t xml:space="preserve">Milli Eğitim Bakanlığı Özel Eğitim Hizmetleri Yönetmeliği – Özel Eğitim Hizmetlerinin Amaçları:</w:t>
      </w:r>
    </w:p>
    <w:p w:rsidR="0003110B" w:rsidP="0003110B" w:rsidRDefault="0003110B">
      <w:r w:rsidRPr="0003110B">
        <w:rPr>
          <w:b/>
        </w:rPr>
        <w:t xml:space="preserve">Madde 6 (1) </w:t>
      </w:r>
      <w:r>
        <w:t xml:space="preserve">Türk Milli Eğitiminin genel amaç ve temel ilkeleri doğrultusunda, özel eğitim ihtiyacı olan bireylerin eğitim ihtiyaçları, yetkinlikleri, ilgi alanları ve yeteneklerine göre kapasitelerini en üst düzeyde kullanabilmelerini sağlamak ve onları yükseköğretime, mesleki yaşama ve sosyal yaşama hazırlamak amaçlanmaktadır.</w:t>
      </w:r>
    </w:p>
    <w:p w:rsidRPr="0003110B" w:rsidR="0003110B" w:rsidP="0003110B" w:rsidRDefault="0003110B">
      <w:pPr>
        <w:rPr>
          <w:color w:val="0070C0"/>
        </w:rPr>
      </w:pPr>
      <w:r w:rsidRPr="0003110B">
        <w:rPr>
          <w:color w:val="0070C0"/>
        </w:rPr>
        <w:t xml:space="preserve">(https://mevzuat.gov.tr/mevzuat?MevzuatNo=24736&amp;MevzuatTur=7&amp;MevzuatTertip=5)</w:t>
      </w:r>
    </w:p>
    <w:p w:rsidR="0003110B" w:rsidP="0003110B" w:rsidRDefault="0003110B"/>
    <w:p w:rsidRPr="0003110B" w:rsidR="0003110B" w:rsidP="0003110B" w:rsidRDefault="0003110B">
      <w:pPr>
        <w:rPr>
          <w:b/>
        </w:rPr>
      </w:pPr>
      <w:r w:rsidRPr="0003110B">
        <w:rPr>
          <w:b/>
        </w:rPr>
        <w:lastRenderedPageBreak/>
      </w:r>
      <w:r w:rsidRPr="0003110B">
        <w:rPr>
          <w:b/>
        </w:rPr>
        <w:t xml:space="preserve">ULUSAL-ULUSLARARASI YASAL GEREKLİLİKLER</w:t>
      </w:r>
    </w:p>
    <w:p w:rsidRPr="00AF4782" w:rsidR="0003110B" w:rsidP="0003110B" w:rsidRDefault="0003110B">
      <w:pPr>
        <w:rPr>
          <w:b/>
        </w:rPr>
      </w:pPr>
      <w:r w:rsidRPr="00AF4782">
        <w:rPr>
          <w:b/>
        </w:rPr>
        <w:t xml:space="preserve">Türkiye Cumhuriyeti Anayasası</w:t>
      </w:r>
    </w:p>
    <w:p w:rsidRPr="00AF4782" w:rsidR="0003110B" w:rsidP="0003110B" w:rsidRDefault="0003110B">
      <w:pPr>
        <w:rPr>
          <w:b/>
        </w:rPr>
      </w:pPr>
      <w:r w:rsidRPr="00AF4782">
        <w:rPr>
          <w:b/>
        </w:rPr>
        <w:t xml:space="preserve">Üçüncü Kısım</w:t>
      </w:r>
    </w:p>
    <w:p w:rsidRPr="00AF4782" w:rsidR="0003110B" w:rsidP="0003110B" w:rsidRDefault="0003110B">
      <w:pPr>
        <w:rPr>
          <w:b/>
        </w:rPr>
      </w:pPr>
      <w:r w:rsidRPr="00AF4782">
        <w:rPr>
          <w:b/>
        </w:rPr>
        <w:t xml:space="preserve">Sosyal ve Ekonomik Haklar ve Yükümlülükler</w:t>
      </w:r>
    </w:p>
    <w:p w:rsidR="0003110B" w:rsidP="0003110B" w:rsidRDefault="0003110B">
      <w:r>
        <w:t xml:space="preserve">II. Eğitim ve Öğretim Hakkı ve Yükümlülüğü</w:t>
      </w:r>
    </w:p>
    <w:p w:rsidR="0003110B" w:rsidP="0003110B" w:rsidRDefault="0003110B">
      <w:r w:rsidRPr="0003110B">
        <w:rPr>
          <w:b/>
        </w:rPr>
        <w:t xml:space="preserve">Madde 42 </w:t>
      </w:r>
      <w:r>
        <w:t xml:space="preserve">– Hiç kimse eğitim ve öğretim hakkından mahrum bırakılamaz.</w:t>
      </w:r>
    </w:p>
    <w:p w:rsidR="0003110B" w:rsidP="0003110B" w:rsidRDefault="0003110B">
      <w:r>
        <w:t xml:space="preserve">Eğitim hakkının kapsamı kanunla belirlenir ve düzenlenir.</w:t>
      </w:r>
    </w:p>
    <w:p w:rsidRPr="0003110B" w:rsidR="0003110B" w:rsidP="0003110B" w:rsidRDefault="0003110B">
      <w:pPr>
        <w:rPr>
          <w:b/>
        </w:rPr>
      </w:pPr>
      <w:r w:rsidRPr="0003110B">
        <w:rPr>
          <w:b/>
        </w:rPr>
        <w:t xml:space="preserve">İkinci Bölüm</w:t>
      </w:r>
    </w:p>
    <w:p w:rsidRPr="0003110B" w:rsidR="0003110B" w:rsidP="0003110B" w:rsidRDefault="0003110B">
      <w:pPr>
        <w:rPr>
          <w:b/>
        </w:rPr>
      </w:pPr>
      <w:r w:rsidRPr="0003110B">
        <w:rPr>
          <w:b/>
        </w:rPr>
        <w:t xml:space="preserve">IX. Bilim ve Sanat Özgürlüğü</w:t>
      </w:r>
    </w:p>
    <w:p w:rsidR="0003110B" w:rsidP="0003110B" w:rsidRDefault="0003110B">
      <w:r w:rsidRPr="0003110B">
        <w:rPr>
          <w:b/>
        </w:rPr>
        <w:t xml:space="preserve">Madde 27 </w:t>
      </w:r>
      <w:r>
        <w:t xml:space="preserve">– Herkes bilim ve sanat alanlarında serbestçe öğrenme, öğretme, açıklama, yayma ve araştırma yapma hakkına sahiptir.</w:t>
      </w:r>
    </w:p>
    <w:p w:rsidR="0003110B" w:rsidP="0003110B" w:rsidRDefault="0003110B">
      <w:r>
        <w:t xml:space="preserve">Türk Milli Eğitiminin temel ilkeleri uyarınca:</w:t>
      </w:r>
    </w:p>
    <w:p w:rsidRPr="00456329" w:rsidR="0003110B" w:rsidP="0003110B" w:rsidRDefault="0003110B">
      <w:pPr>
        <w:rPr>
          <w:b/>
        </w:rPr>
      </w:pPr>
      <w:r w:rsidRPr="00456329">
        <w:rPr>
          <w:b/>
        </w:rPr>
        <w:t xml:space="preserve">I – Evrensellik ve Eşitlik:</w:t>
      </w:r>
    </w:p>
    <w:p w:rsidR="0003110B" w:rsidP="0003110B" w:rsidRDefault="0003110B">
      <w:r w:rsidRPr="0003110B">
        <w:rPr>
          <w:b/>
        </w:rPr>
        <w:t xml:space="preserve">Madde 4 – </w:t>
      </w:r>
      <w:r>
        <w:t xml:space="preserve">Eğitim kurumları, dil, ırk, cinsiyet, engellilik veya din ayrımı yapılmaksızın herkese açıktır. Eğitimde hiçbir bireye, aileye, gruba veya sınıfa ayrıcalık tanınmaz.</w:t>
      </w:r>
    </w:p>
    <w:p w:rsidRPr="0003110B" w:rsidR="0003110B" w:rsidP="0003110B" w:rsidRDefault="0003110B">
      <w:pPr>
        <w:rPr>
          <w:b/>
        </w:rPr>
      </w:pPr>
      <w:r w:rsidRPr="0003110B">
        <w:rPr>
          <w:b/>
        </w:rPr>
        <w:t xml:space="preserve">V – Fırsat ve İmkan Eşitliği:</w:t>
      </w:r>
    </w:p>
    <w:p w:rsidR="0003110B" w:rsidP="0003110B" w:rsidRDefault="0003110B">
      <w:r w:rsidRPr="0003110B">
        <w:rPr>
          <w:b/>
        </w:rPr>
        <w:t xml:space="preserve">Madde 8 </w:t>
      </w:r>
      <w:r>
        <w:t xml:space="preserve">– Eğitimde tüm bireylere, kadınlara ve erkeklere eşit fırsatlar ve imkânlar sağlanır.</w:t>
      </w:r>
    </w:p>
    <w:p w:rsidR="0003110B" w:rsidP="0003110B" w:rsidRDefault="0003110B">
      <w:r>
        <w:t xml:space="preserve">Okul Öncesi ve İlköğretim Kurumları Yönetmeliği, özel eğitimle ilgili düzenlemeleri destekleyen hükümler içermektedir. Yönetmelik, hangi çocukların özel ihtiyaçları olduğunu belirlemede Rehberlik ve Araştırma Merkezlerinin (RAM) rolünü vurgulamakta ve bu çocuklar için Bireyselleştirilmiş Eğitim Planları (BEP) hazırlamanın önemini belirtmektedir.</w:t>
      </w:r>
    </w:p>
    <w:p w:rsidR="0003110B" w:rsidP="0003110B" w:rsidRDefault="0003110B">
      <w:r>
        <w:t xml:space="preserve">Okul Öncesi ve İlköğretim Kurumları Yönetmeliği'nin</w:t>
      </w:r>
      <w:r w:rsidRPr="0003110B">
        <w:rPr>
          <w:b/>
        </w:rPr>
        <w:t xml:space="preserve"> 11. maddesine göre</w:t>
      </w:r>
      <w:r>
        <w:t xml:space="preserve">, RAM'dan alınan raporla okul öncesi ve ilköğretim okullarına yönlendirilen çocuklar, ikamet adreslerine bakılmaksızın tercih ettikleri okula kayıt yaptırabilirler.</w:t>
      </w:r>
    </w:p>
    <w:p w:rsidRPr="0003110B" w:rsidR="0003110B" w:rsidP="0003110B" w:rsidRDefault="0003110B">
      <w:pPr>
        <w:rPr>
          <w:b/>
        </w:rPr>
      </w:pPr>
      <w:r w:rsidRPr="0003110B">
        <w:rPr>
          <w:b/>
        </w:rPr>
        <w:t xml:space="preserve">Engelliler Hakkında 5378 Sayılı Kanun (2005)</w:t>
      </w:r>
    </w:p>
    <w:p w:rsidR="0003110B" w:rsidP="0003110B" w:rsidRDefault="0003110B">
      <w:r w:rsidRPr="0003110B">
        <w:rPr>
          <w:b/>
        </w:rPr>
        <w:t xml:space="preserve">Madde 15 </w:t>
      </w:r>
      <w:r>
        <w:t xml:space="preserve">– “Engelli bireylerin eğitimi hiçbir koşulda engellenemez. Engelli çocuklar, gençler ve yetişkinlere, özel durumları ve farklılıkları dikkate alınarak, engelli olmayan bireylerle birlikte kapsayıcı ortamlarda eşit eğitim fırsatları sağlanır.” </w:t>
      </w:r>
    </w:p>
    <w:p w:rsidRPr="0003110B" w:rsidR="0003110B" w:rsidP="0003110B" w:rsidRDefault="0003110B">
      <w:pPr>
        <w:rPr>
          <w:color w:val="0070C0"/>
        </w:rPr>
      </w:pPr>
      <w:r w:rsidRPr="0003110B">
        <w:rPr>
          <w:color w:val="0070C0"/>
        </w:rPr>
        <w:t xml:space="preserve">https://orgm.meb.gov.tr/www/ozel-egitim-hizmetleri-yonetmeligi-yayimlandi/icerik/1089</w:t>
      </w:r>
    </w:p>
    <w:p w:rsidRPr="0003110B" w:rsidR="0003110B" w:rsidP="0003110B" w:rsidRDefault="0003110B">
      <w:pPr>
        <w:rPr>
          <w:color w:val="0070C0"/>
        </w:rPr>
      </w:pPr>
      <w:r w:rsidRPr="0003110B">
        <w:rPr>
          <w:color w:val="0070C0"/>
        </w:rPr>
        <w:t xml:space="preserve">https://orgm.meb.gov.tr/meb_iys_dosyalar/2025_01/21155634_10111011_ozel_egitim_kanun_hukmunda_kararname.pdf</w:t>
      </w:r>
    </w:p>
    <w:p w:rsidRPr="0003110B" w:rsidR="0003110B" w:rsidP="0003110B" w:rsidRDefault="0003110B">
      <w:pPr>
        <w:rPr>
          <w:color w:val="0070C0"/>
        </w:rPr>
      </w:pPr>
      <w:r w:rsidRPr="0003110B">
        <w:rPr>
          <w:color w:val="0070C0"/>
        </w:rPr>
        <w:t xml:space="preserve">https://orgm.meb.gov.tr/meb_iys_dosyalar/2022_12/22144036_BIREYLERIN_YASAL_HAKLARI.pdf</w:t>
      </w:r>
    </w:p>
    <w:p w:rsidRPr="0003110B" w:rsidR="0003110B" w:rsidP="0003110B" w:rsidRDefault="0003110B">
      <w:pPr>
        <w:rPr>
          <w:color w:val="0070C0"/>
        </w:rPr>
      </w:pPr>
    </w:p>
    <w:p w:rsidRPr="0003110B" w:rsidR="0003110B" w:rsidP="0003110B" w:rsidRDefault="0003110B">
      <w:pPr>
        <w:rPr>
          <w:b/>
        </w:rPr>
      </w:pPr>
      <w:r w:rsidRPr="0003110B">
        <w:rPr>
          <w:b/>
        </w:rPr>
        <w:t xml:space="preserve">UNESCO’nun (2005) kapsayıcı eğitim tanımı:</w:t>
      </w:r>
    </w:p>
    <w:p w:rsidR="0003110B" w:rsidP="0003110B" w:rsidRDefault="0003110B">
      <w:r>
        <w:t xml:space="preserve">“Kapsayıcı eğitim, öğrenmeye katılımı artırarak ve eğitim sistemi içindeki ayrımcılığı azaltarak tüm öğrenenlerin, kültürlerin ve toplulukların farklı ihtiyaçlarına yanıt verme sürecidir. Bu süreç, tüm okul çağındaki çocukları kapsayan ortak bir vizyon ve tüm çocukları eğitmenin hükümetlerin sorumluluğu olduğu inancına dayanan içerik, yaklaşım, yapı ve stratejilerde önemli değişiklikleri içerir.”</w:t>
      </w:r>
    </w:p>
    <w:p w:rsidR="0003110B" w:rsidP="0003110B" w:rsidRDefault="0003110B">
      <w:r>
        <w:t xml:space="preserve">Birleşmiş Milletler Sürdürülebilir Kalkınma Hedefleri (2015) Hedef 4: Özellikle en savunmasız ve sosyal olarak dışlanmış gruplar sürece dahil edilmedikçe, kaliteli eğitim eşit olarak değerlendirilemez.</w:t>
      </w:r>
    </w:p>
    <w:p w:rsidR="0003110B" w:rsidP="0003110B" w:rsidRDefault="0003110B">
      <w:r>
        <w:t xml:space="preserve">Çocuk Hakları Sözleşmesi'nin 23. ve 28. maddeleri:</w:t>
      </w:r>
    </w:p>
    <w:p w:rsidR="0003110B" w:rsidP="0003110B" w:rsidRDefault="0003110B">
      <w:r>
        <w:t xml:space="preserve">Madde 23: Taraf Devletler, zihinsel veya fiziksel engelli çocukların, onurlarını koruyan, özgüvenlerini geliştiren ve sosyal hayata etkin katılımlarını kolaylaştıran koşullarda tam bir yaşam sürme hakkını tanır.</w:t>
      </w:r>
    </w:p>
    <w:p w:rsidR="0003110B" w:rsidP="0003110B" w:rsidRDefault="0003110B">
      <w:r>
        <w:t xml:space="preserve">Madde 28/1: Taraf Devletler, çocuğun eğitim hakkını tanır ve bu hakkın eşit fırsat temelinde aşamalı olarak gerçekleştirilmesi gerektiği görüşünü benimser.</w:t>
      </w:r>
    </w:p>
    <w:p w:rsidRPr="0003110B" w:rsidR="0003110B" w:rsidP="0003110B" w:rsidRDefault="0003110B">
      <w:pPr>
        <w:rPr>
          <w:b/>
        </w:rPr>
      </w:pPr>
      <w:r w:rsidRPr="0003110B">
        <w:rPr>
          <w:b/>
        </w:rPr>
        <w:t xml:space="preserve">Birleşmiş Milletler Engelli Kişilerin Hakları Sözleşmesi (2008) Madde 24</w:t>
      </w:r>
    </w:p>
    <w:p w:rsidRPr="0003110B" w:rsidR="0003110B" w:rsidP="0003110B" w:rsidRDefault="0003110B">
      <w:pPr>
        <w:rPr>
          <w:b/>
        </w:rPr>
      </w:pPr>
      <w:r w:rsidRPr="0003110B">
        <w:rPr>
          <w:b/>
        </w:rPr>
        <w:t xml:space="preserve">Eğitim:</w:t>
      </w:r>
    </w:p>
    <w:p w:rsidR="0003110B" w:rsidP="0003110B" w:rsidRDefault="0003110B">
      <w:r>
        <w:t xml:space="preserve">1.</w:t>
      </w:r>
      <w:r>
        <w:tab/>
      </w:r>
      <w:r>
        <w:t xml:space="preserve">Taraf Devletler, engelli kişilerin eğitim hakkını tanır. Taraf Devletler, ayrımcılık yapılmaksızın ve fırsat eşitliği temelinde, her düzeyde kapsayıcı bir eğitim sistemi ve yaşam boyu öğrenmeyi sağlayacaktır. Aşağıdaki hedefler izlenecektir:</w:t>
      </w:r>
    </w:p>
    <w:p w:rsidR="0003110B" w:rsidP="0003110B" w:rsidRDefault="0003110B">
      <w:r>
        <w:t xml:space="preserve">(a) İnsan potansiyelinin tam olarak geliştirilmesi, insan onuruna saygı, doğuştan gelen haysiyet ve insan haklarına, temel özgürlüklere ve insan çeşitliliğine saygının güçlendirilmesi;</w:t>
      </w:r>
    </w:p>
    <w:p w:rsidR="0003110B" w:rsidP="0003110B" w:rsidRDefault="0003110B">
      <w:r>
        <w:t xml:space="preserve">(b) Engelli kişilerin kişiliklerinin, yeteneklerinin, yaratıcılıklarının, zihinsel ve fiziksel yeteneklerinin tam potansiyeline ulaşacak şekilde geliştirilmesi;</w:t>
      </w:r>
    </w:p>
    <w:p w:rsidR="0003110B" w:rsidP="0003110B" w:rsidRDefault="0003110B">
      <w:r>
        <w:t xml:space="preserve">(c) Engelli kişilerin özgür bir topluma etkin katılımı.</w:t>
      </w:r>
    </w:p>
    <w:p w:rsidR="0003110B" w:rsidP="0003110B" w:rsidRDefault="0003110B">
      <w:r>
        <w:t xml:space="preserve">2.</w:t>
      </w:r>
      <w:r>
        <w:tab/>
      </w:r>
      <w:r>
        <w:t xml:space="preserve">Bu hakkın uygulanmasını sağlamak için, Taraf Devletler:</w:t>
      </w:r>
    </w:p>
    <w:p w:rsidR="0003110B" w:rsidP="0003110B" w:rsidRDefault="0003110B">
      <w:r>
        <w:t xml:space="preserve">(a) Engelli kişilerin engellilikleri nedeniyle genel eğitim sisteminden dışlanmamalarını ve engelli çocukların ücretsiz ve zorunlu ilk ve orta öğretimden dışlanmamalarını sağlamak;</w:t>
      </w:r>
    </w:p>
    <w:p w:rsidR="0003110B" w:rsidP="0003110B" w:rsidRDefault="0003110B">
      <w:r>
        <w:t xml:space="preserve">(b) Engelli kişilerin, yaşadıkları topluluklarda diğer kişilerle eşit bir şekilde kapsayıcı, kaliteli ve ücretsiz ilk ve orta öğretime erişebilmelerini sağlamak;</w:t>
      </w:r>
    </w:p>
    <w:p w:rsidR="0003110B" w:rsidP="0003110B" w:rsidRDefault="0003110B">
      <w:r>
        <w:t xml:space="preserve">(c) Engelli kişilerin bireysel ihtiyaçlarına göre makul düzenlemeler yapmalıdır;</w:t>
      </w:r>
    </w:p>
    <w:p w:rsidR="0003110B" w:rsidP="0003110B" w:rsidRDefault="0003110B">
      <w:r>
        <w:t xml:space="preserve">(d) Engelli kişilerin etkili bir şekilde eğitim almalarını kolaylaştırmak için genel eğitim sistemi içinde gerekli desteği sağlar;</w:t>
      </w:r>
    </w:p>
    <w:p w:rsidR="0003110B" w:rsidP="0003110B" w:rsidRDefault="0003110B">
      <w:r>
        <w:t xml:space="preserve">(e) Engelli kişilerin tam katılımını teşvik eden ortamlarda akademik ve sosyal gelişimi en üst düzeye çıkarmayı amaçlayan bireyselleştirilmiş destek önlemlerinin kullanımını teşvik etmek.</w:t>
      </w:r>
    </w:p>
    <w:p w:rsidR="0003110B" w:rsidP="0003110B" w:rsidRDefault="0003110B"/>
    <w:p w:rsidRPr="0003110B" w:rsidR="0003110B" w:rsidP="0003110B" w:rsidRDefault="0003110B">
      <w:pPr>
        <w:rPr>
          <w:b/>
        </w:rPr>
      </w:pPr>
      <w:r w:rsidRPr="0003110B">
        <w:rPr>
          <w:b/>
        </w:rPr>
        <w:t xml:space="preserve">AMAÇ</w:t>
      </w:r>
    </w:p>
    <w:p w:rsidR="0003110B" w:rsidP="0003110B" w:rsidRDefault="0003110B">
      <w:r>
        <w:t xml:space="preserve">Farklı gelişim modellerine sahip öğrencilerin yanı sıra tipik gelişim gösteren öğrencilerin de kabul gördüğü, desteklendiği, öğrenme sürecine entegre edildiği, iletişimsel olduğu ve farklılaştırılmış bir müfredat aracılığıyla gelişimini teşvik ettiği ve akademik bilgi ve becerilerini en üst düzeye çıkardığı bir eğitim ortamı sağlamaktır. Tüm öğrencilerin refahı ve iyiliği, bu kapsayıcı politikanın temel hedefleridir.</w:t>
      </w:r>
    </w:p>
    <w:p w:rsidRPr="0003110B" w:rsidR="0003110B" w:rsidP="0003110B" w:rsidRDefault="0003110B">
      <w:pPr>
        <w:rPr>
          <w:b/>
        </w:rPr>
      </w:pPr>
      <w:r w:rsidRPr="0003110B">
        <w:rPr>
          <w:b/>
        </w:rPr>
        <w:t xml:space="preserve">KAPSAYICI POLİTİKANIN İLKELERİ</w:t>
      </w:r>
    </w:p>
    <w:p w:rsidR="0003110B" w:rsidP="0003110B" w:rsidRDefault="0003110B">
      <w:r>
        <w:t xml:space="preserve">ISTEK Anaokulları ve İlkokullarının kapsayıcı politikasında, aşağıdaki özelliklere sahip öğrenciler yetiştirilmesi hedeflenmektedir:</w:t>
      </w:r>
    </w:p>
    <w:p w:rsidR="0003110B" w:rsidP="0003110B" w:rsidRDefault="0003110B">
      <w:r>
        <w:t xml:space="preserve">●</w:t>
      </w:r>
      <w:r>
        <w:tab/>
      </w:r>
      <w:r>
        <w:t xml:space="preserve">Bireysel farklılıklara ve farklı bakış açılarına saygılı,</w:t>
      </w:r>
    </w:p>
    <w:p w:rsidR="0003110B" w:rsidP="0003110B" w:rsidRDefault="0003110B">
      <w:r>
        <w:t xml:space="preserve">●</w:t>
      </w:r>
      <w:r>
        <w:tab/>
      </w:r>
      <w:r>
        <w:t xml:space="preserve">Farklı kültürleri ve kültürel çeşitliliği değer veren,</w:t>
      </w:r>
    </w:p>
    <w:p w:rsidR="0003110B" w:rsidP="0003110B" w:rsidRDefault="0003110B">
      <w:r>
        <w:t xml:space="preserve">●</w:t>
      </w:r>
      <w:r>
        <w:tab/>
      </w:r>
      <w:r>
        <w:t xml:space="preserve">Yaşam boyu öğrenmeyi hedefleyen,</w:t>
      </w:r>
    </w:p>
    <w:p w:rsidR="0003110B" w:rsidP="0003110B" w:rsidRDefault="0003110B">
      <w:r>
        <w:t xml:space="preserve">●</w:t>
      </w:r>
      <w:r>
        <w:tab/>
      </w:r>
      <w:r>
        <w:t xml:space="preserve">Kendi öğrenim ve davranışlarından sorumlu olmak,</w:t>
      </w:r>
    </w:p>
    <w:p w:rsidR="0003110B" w:rsidP="0003110B" w:rsidRDefault="0003110B">
      <w:r>
        <w:t xml:space="preserve">●</w:t>
      </w:r>
      <w:r>
        <w:tab/>
      </w:r>
      <w:r>
        <w:t xml:space="preserve">Düşünce ve eylem özgürlüğüne değer vermek,</w:t>
      </w:r>
    </w:p>
    <w:p w:rsidRPr="0003110B" w:rsidR="0003110B" w:rsidP="0003110B" w:rsidRDefault="0003110B">
      <w:pPr>
        <w:rPr>
          <w:b/>
        </w:rPr>
      </w:pPr>
      <w:r>
        <w:t xml:space="preserve">●</w:t>
      </w:r>
      <w:r>
        <w:tab/>
      </w:r>
      <w:r>
        <w:t xml:space="preserve">Atatürk'ün ilke ve reformlarını savunan dünya vatandaşları</w:t>
      </w:r>
      <w:r w:rsidRPr="0003110B">
        <w:rPr>
          <w:b/>
        </w:rPr>
        <w:t xml:space="preserve">.</w:t>
      </w:r>
    </w:p>
    <w:p w:rsidRPr="0003110B" w:rsidR="0003110B" w:rsidP="0003110B" w:rsidRDefault="0003110B">
      <w:pPr>
        <w:rPr>
          <w:b/>
        </w:rPr>
      </w:pPr>
      <w:r w:rsidRPr="0003110B">
        <w:rPr>
          <w:b/>
        </w:rPr>
        <w:t xml:space="preserve">KATILIM POLİTİKASI KAPSAMINDA UYGULAMA</w:t>
      </w:r>
    </w:p>
    <w:p w:rsidR="0003110B" w:rsidP="0003110B" w:rsidRDefault="0003110B">
      <w:r>
        <w:tab/>
      </w:r>
      <w:r>
        <w:t xml:space="preserve">Rehberlik ve psikolojik danışmanlık personeli, sınıf öğretmenleri, diğer ders öğretmenleri ve veliler tarafından düzenli olarak yapılan toplantılarda, farklı gereksinimleri olan öğrencilerin ihtiyaçları değerlendirilir ve buna göre kararlar alınır. Bunlar gözlem formlarına kaydedilir. Süreç izlenir ve gelişmelere göre uyarlanır. Uzmanlardan destek alan öğrenciler için danışmanlarla görüşülerek okul içinde destek sağlanır. Derslerde, öğrencilerin öğrenme becerileri ve yeteneklerine odaklanarak farklılaştırılmış etkinlikler ve uygulamalar kullanılır.</w:t>
      </w:r>
    </w:p>
    <w:p w:rsidR="0003110B" w:rsidP="0003110B" w:rsidRDefault="0003110B">
      <w:pPr>
        <w:ind w:firstLine="708"/>
      </w:pPr>
      <w:r>
        <w:t xml:space="preserve">Ünite planlayıcıları ve ders planlama ve geliştirme süreçleri, tüm öğrencilerin farklılaştırmadan yararlandığını göstermektedir.</w:t>
      </w:r>
    </w:p>
    <w:p w:rsidR="0003110B" w:rsidP="0003110B" w:rsidRDefault="0003110B">
      <w:pPr>
        <w:ind w:firstLine="708"/>
      </w:pPr>
      <w:r>
        <w:t xml:space="preserve">Farklılaştırmada, sınıf içindeki öğrenme hedefleri ve öğrenme yaklaşımları (ATL becerileri) sürekli olarak gözden geçirilir ve revize edilir.</w:t>
      </w:r>
    </w:p>
    <w:p w:rsidR="0003110B" w:rsidP="0003110B" w:rsidRDefault="0003110B">
      <w:r>
        <w:t xml:space="preserve"> </w:t>
      </w:r>
      <w:r>
        <w:tab/>
      </w:r>
      <w:r>
        <w:t xml:space="preserve">Farklılaştırma için, her öğrenci için üzerinde anlaşmaya varılmış hedefler vardır. Bu hedeflere ulaşmak için en etkili stratejiler, tüm okul topluluğu tarafından işbirliği içinde belirlenir.</w:t>
      </w:r>
    </w:p>
    <w:p w:rsidR="0003110B" w:rsidP="0003110B" w:rsidRDefault="0003110B">
      <w:pPr>
        <w:ind w:firstLine="708"/>
      </w:pPr>
      <w:r>
        <w:t xml:space="preserve">Öğrenciler, öğretmenleri ve okul psikoloğu/danışmanı tarafından gözlemlenir. Her öğrencinin gelişimsel ihtiyaçları, okul-aile işbirliği ile değerlendirilir ve profesyonel desteğe ihtiyaç duyan öğrencilerin aileleri, destek merkezlerine veya uzmanlara yönlendirilir. Psikolojik Danışmanlık ve Rehberlik Bölümü, tanı koyma konusunda herhangi bir yetkiye sahip değildir.</w:t>
      </w:r>
    </w:p>
    <w:p w:rsidR="0003110B" w:rsidP="0003110B" w:rsidRDefault="0003110B">
      <w:pPr>
        <w:ind w:firstLine="708"/>
      </w:pPr>
      <w:r>
        <w:t xml:space="preserve">İSTEK Atanur Oğuz Psikolojik Danışmanlık ve Rehberlik Bölümü, bu merkezler ve uzmanlarla işbirliği yapar ve onların rehberliğinde, çocuğun gelişimsel ihtiyaçlarını desteklemek için okul topluluğu içinde gerekli uygulamaların hayata geçirilmesini sağlar.</w:t>
      </w:r>
    </w:p>
    <w:p w:rsidRPr="0003110B" w:rsidR="0003110B" w:rsidP="0003110B" w:rsidRDefault="0003110B">
      <w:pPr>
        <w:rPr>
          <w:b/>
        </w:rPr>
      </w:pPr>
    </w:p>
    <w:p w:rsidRPr="0003110B" w:rsidR="0003110B" w:rsidP="0003110B" w:rsidRDefault="0003110B">
      <w:pPr>
        <w:rPr>
          <w:b/>
        </w:rPr>
      </w:pPr>
      <w:r w:rsidRPr="0003110B">
        <w:rPr>
          <w:b/>
        </w:rPr>
        <w:lastRenderedPageBreak/>
      </w:r>
      <w:r w:rsidRPr="0003110B">
        <w:rPr>
          <w:b/>
        </w:rPr>
        <w:t xml:space="preserve">KAPSAYICI OKUL TOPLULUĞUNU DESTEKLEMEK İÇİN FAALİYETLER</w:t>
      </w:r>
    </w:p>
    <w:p w:rsidR="0003110B" w:rsidP="0003110B" w:rsidRDefault="0003110B">
      <w:r>
        <w:t xml:space="preserve">●</w:t>
      </w:r>
      <w:r>
        <w:tab/>
      </w:r>
      <w:r>
        <w:t xml:space="preserve">Öğrencilere, sanat ve spor gibi alanlarda ilgi ve yeteneklerine göre oluşturulan çeşitli kulüplere, takımlara, korolara, sergilere, sahne performanslarına ve benzer gruplara katılma fırsatı verilir. </w:t>
      </w:r>
    </w:p>
    <w:p w:rsidR="0003110B" w:rsidP="0003110B" w:rsidRDefault="0003110B">
      <w:r>
        <w:t xml:space="preserve">●</w:t>
      </w:r>
      <w:r>
        <w:tab/>
      </w:r>
      <w:r>
        <w:t xml:space="preserve">Öğrenciler, belirli zamanlarda düzenlenen kampanyalar kapsamında sosyal sorumluluk projelerine katılmaya teşvik edilir ve bu konuda fırsatlar sunulur. </w:t>
      </w:r>
    </w:p>
    <w:p w:rsidR="0003110B" w:rsidP="0003110B" w:rsidRDefault="0003110B">
      <w:r>
        <w:t xml:space="preserve">●</w:t>
      </w:r>
      <w:r>
        <w:tab/>
      </w:r>
      <w:r>
        <w:t xml:space="preserve">Aylık "Öğrenci Toplantıları" kapsamında, öğrencilerin etkinliklere katılımları, bu etkinliklerdeki başarıları ve sergilenecek performansları tüm okul topluluğuyla paylaşılır.</w:t>
      </w:r>
    </w:p>
    <w:p w:rsidR="0003110B" w:rsidP="0003110B" w:rsidRDefault="0003110B">
      <w:r>
        <w:t xml:space="preserve">●</w:t>
      </w:r>
      <w:r>
        <w:tab/>
      </w:r>
      <w:r>
        <w:t xml:space="preserve">Uluslararası farkındalığı artırmak, öğrencilerin kültürel kimliklerini güçlendirmek ve farklı kültürlerin anlaşılmasını teşvik etmek için Yabancı Diller Günü kutlamaları gibi etkinlikler düzenlenir.</w:t>
      </w:r>
    </w:p>
    <w:p w:rsidR="0003110B" w:rsidP="0003110B" w:rsidRDefault="0003110B">
      <w:r>
        <w:t xml:space="preserve">●</w:t>
      </w:r>
      <w:r>
        <w:tab/>
      </w:r>
      <w:r>
        <w:t xml:space="preserve">Yerel, ulusal ve </w:t>
      </w:r>
      <w:r>
        <w:t xml:space="preserve">küresel </w:t>
      </w:r>
      <w:r>
        <w:t xml:space="preserve">öneme </w:t>
      </w:r>
      <w:r>
        <w:t xml:space="preserve">sahip konular hakkında bilgi edinme fırsatları sunar</w:t>
      </w:r>
      <w:r>
        <w:t xml:space="preserve">.</w:t>
      </w:r>
    </w:p>
    <w:p w:rsidR="0003110B" w:rsidP="0003110B" w:rsidRDefault="0003110B">
      <w:r>
        <w:t xml:space="preserve">Okul Topluluğunun Kapsayıcı Yönetmelikleri</w:t>
      </w:r>
    </w:p>
    <w:p w:rsidR="0003110B" w:rsidP="0003110B" w:rsidRDefault="0003110B">
      <w:pPr>
        <w:ind w:firstLine="708"/>
      </w:pPr>
      <w:r>
        <w:t xml:space="preserve">Okulumuzda kayıtlı öğrenciler, farklı öğrenme ortamlarında çeşitli materyaller, kaynaklar, kitaplar ve dijital içeriklerden yararlanma hakkına sahiptir. İlkokul düzeyinde, bireysel gereksinimlerine göre, sınıf seviyelerinin altında veya üstünde olan öğrenciler için özel çalışma oturumları planlanır ve uygulanır. Bu süreç, bireysel ihtiyaçlar dikkate alınarak sınıf öğretmenleri tarafından özenle tasarlanır, yürütülür ve gözlemlenir. Pedagojik liderlik ekibi bu faaliyetleri izler, okul topluluğuna geri bildirim sağlar ve herkesi bilgilendirir.</w:t>
      </w:r>
    </w:p>
    <w:p w:rsidR="0003110B" w:rsidP="0003110B" w:rsidRDefault="0003110B">
      <w:pPr>
        <w:ind w:firstLine="708"/>
      </w:pPr>
      <w:r>
        <w:t xml:space="preserve">Okulumuzda fiziksel engelli öğrenciler ve personel için rampalar gibi erişilebilirlik önlemleri bulunmaktadır. İlkokul öğrencileri, ilgi ve tercihlerine göre hobileri gibi okul sonrası etkinliklere ve ders dışı atölye çalışmalarına katılma fırsatına sahiptir. Öğrenciler, yaşlarına uygun ve kapasite sınırları dahilinde sunulan ders dışı etkinlikler arasından seçim yapma hakkına sahiptir.</w:t>
      </w:r>
    </w:p>
    <w:p w:rsidR="0003110B" w:rsidP="0003110B" w:rsidRDefault="0003110B">
      <w:pPr>
        <w:ind w:firstLine="708"/>
      </w:pPr>
      <w:r>
        <w:t xml:space="preserve">Okul topluluğunun tüm üyeleri kütüphane kaynaklarına erişebilir. Kütüphane kullanımıyla ilgili beklentiler ve davranış kuralları, okulun davranış politikasında açıkça belirtilmiştir.</w:t>
      </w:r>
    </w:p>
    <w:p w:rsidR="0003110B" w:rsidP="0003110B" w:rsidRDefault="0003110B">
      <w:pPr>
        <w:ind w:firstLine="708"/>
      </w:pPr>
      <w:r>
        <w:t xml:space="preserve">Özel sağlık ihtiyaçları olan öğrencileri izleme sorumluluğu öncelikle sınıf öğretmenlerine, okul hemşiresine ve ailelere aittir. Doktor raporuyla belgelenmiş alerji veya diyabet gibi sağlık sorunları olan öğrenciler, ailelerinin gözetimi altında okula uygun yiyecekler getirebilirler. Bu öğrenciler, sınıf öğretmeni, ilgili ders öğretmenleri ve okul hemşiresi tarafından düzenli olarak izlenir.</w:t>
      </w:r>
    </w:p>
    <w:p w:rsidR="0003110B" w:rsidP="0003110B" w:rsidRDefault="0003110B">
      <w:pPr>
        <w:ind w:firstLine="708"/>
      </w:pPr>
      <w:r>
        <w:t xml:space="preserve">Veliler, eğitim programımız hakkında bilgi edinme, görüş ve önerilerini paylaşma, veli bilgilendirme toplantılarına katılma ve kültürel katılım etkinliklerinde kültürlerini temsil etme hakkına sahiptir.</w:t>
      </w:r>
    </w:p>
    <w:p w:rsidR="0003110B" w:rsidP="0003110B" w:rsidRDefault="0003110B">
      <w:pPr>
        <w:ind w:firstLine="708"/>
      </w:pPr>
      <w:r>
        <w:t xml:space="preserve">Kapsayıcılık politikamızın uygulanması, tüm okul topluluğunun ortak sorumluluğudur. Okul yönetimi, kayıt politikasına uygun olarak tüm öğrencilerin programa eşit erişimini sağlamakla sorumludur. Pedagojik liderlik ekibi, okul genelinde kapsayıcılık politikasının tam olarak uygulanmasını denetler. Rehberlik ve Psikolojik Danışmanlık Departmanı, öğrencilerin bireysel gelişimlerini takip etmek, </w:t>
      </w:r>
      <w:r>
        <w:t xml:space="preserve">çeşitli testler ve envanterler aracılığıyla</w:t>
      </w:r>
      <w:r>
        <w:lastRenderedPageBreak/>
      </w:r>
      <w:r>
        <w:t xml:space="preserve"> farklılıklarını</w:t>
      </w:r>
      <w:r>
        <w:t xml:space="preserve"> belirlemek</w:t>
      </w:r>
      <w:r>
        <w:t xml:space="preserve">, sınıf ve ders öğretmenlerini bilgilendirmek, öğrencilerin okulda duygusal durumlarını gözlemlemek ve gerektiğinde geri bildirimde bulunmakla</w:t>
      </w:r>
      <w:r>
        <w:t xml:space="preserve"> görevlidir</w:t>
      </w:r>
      <w:r>
        <w:t xml:space="preserve">. Öğretmenlerimiz, huzurlu, destekleyici ve çeşitlilik içeren bir öğrenme ortamı yaratmaya kararlıdır.</w:t>
      </w:r>
    </w:p>
    <w:p w:rsidR="0003110B" w:rsidP="0003110B" w:rsidRDefault="0003110B">
      <w:r>
        <w:t xml:space="preserve">Bireysel farklılıklara saygı duymak ve bu anlayışla hareket etmek, okul topluluğumuzun her üyesinin ortak sorumluluğudur.</w:t>
      </w:r>
    </w:p>
    <w:p w:rsidR="0003110B" w:rsidP="0003110B" w:rsidRDefault="0003110B"/>
    <w:p w:rsidR="00456329" w:rsidP="0003110B" w:rsidRDefault="00456329"/>
    <w:p w:rsidR="00456329" w:rsidP="00456329" w:rsidRDefault="00456329"/>
    <w:p w:rsidR="00456329" w:rsidP="00456329" w:rsidRDefault="00456329">
      <w:pPr>
        <w:rPr>
          <w:i/>
        </w:rPr>
      </w:pPr>
      <w:r>
        <w:rPr>
          <w:i/>
        </w:rPr>
        <w:t xml:space="preserve">GÜNCELLEME TARİHİ: KASIM 2025</w:t>
      </w:r>
    </w:p>
    <w:p w:rsidR="0003110B" w:rsidP="0003110B" w:rsidRDefault="0003110B">
      <w:bookmarkStart w:name="_GoBack" w:id="0"/>
      <w:bookmarkEnd w:id="0"/>
    </w:p>
    <w:p w:rsidR="00762A74" w:rsidRDefault="00781E3E"/>
    <w:sectPr w:rsidR="00762A7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E3E" w:rsidP="0083675D" w:rsidRDefault="00781E3E">
      <w:pPr>
        <w:spacing w:after="0" w:line="240" w:lineRule="auto"/>
      </w:pPr>
      <w:r>
        <w:separator/>
      </w:r>
    </w:p>
  </w:endnote>
  <w:endnote w:type="continuationSeparator" w:id="0">
    <w:p w:rsidR="00781E3E" w:rsidP="0083675D" w:rsidRDefault="0078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E3E" w:rsidP="0083675D" w:rsidRDefault="00781E3E">
      <w:pPr>
        <w:spacing w:after="0" w:line="240" w:lineRule="auto"/>
      </w:pPr>
      <w:r>
        <w:separator/>
      </w:r>
    </w:p>
  </w:footnote>
  <w:footnote w:type="continuationSeparator" w:id="0">
    <w:p w:rsidR="00781E3E" w:rsidP="0083675D" w:rsidRDefault="00781E3E">
      <w:pPr>
        <w:spacing w:after="0" w:line="240" w:lineRule="auto"/>
      </w:pPr>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75D" w:rsidRDefault="0083675D">
    <w:pPr>
      <w:pStyle w:val="stBilgi"/>
    </w:pPr>
    <w:r>
      <w:rPr>
        <w:noProof/>
        <w:sz w:val="20"/>
        <w:lang w:eastAsia="tr-TR"/>
      </w:rPr>
      <w:drawing>
        <wp:anchor distT="0" distB="0" distL="0" distR="0" simplePos="0" relativeHeight="251659264" behindDoc="1" locked="0" layoutInCell="1" allowOverlap="1" wp14:editId="36EF3A1F" wp14:anchorId="7550C700">
          <wp:simplePos x="0" y="0"/>
          <wp:positionH relativeFrom="page">
            <wp:posOffset>5090795</wp:posOffset>
          </wp:positionH>
          <wp:positionV relativeFrom="paragraph">
            <wp:posOffset>-290195</wp:posOffset>
          </wp:positionV>
          <wp:extent cx="2181535" cy="662940"/>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 cstate="print"/>
                  <a:stretch>
                    <a:fillRect/>
                  </a:stretch>
                </pic:blipFill>
                <pic:spPr>
                  <a:xfrm>
                    <a:off x="0" y="0"/>
                    <a:ext cx="2181535" cy="6629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0B"/>
    <w:rsid w:val="0003110B"/>
    <w:rsid w:val="0007417C"/>
    <w:rsid w:val="00456329"/>
    <w:rsid w:val="004A5844"/>
    <w:rsid w:val="00527E94"/>
    <w:rsid w:val="005F1315"/>
    <w:rsid w:val="00781E3E"/>
    <w:rsid w:val="0083675D"/>
    <w:rsid w:val="00AF4782"/>
    <w:rsid w:val="00D914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665F"/>
  <w15:chartTrackingRefBased/>
  <w15:docId w15:val="{DC3F8380-5655-41E9-9DE9-D8057F88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rsid w:val="0083675D"/>
    <w:pPr>
      <w:keepNext/>
      <w:keepLines/>
      <w:pBdr>
        <w:top w:val="nil"/>
        <w:left w:val="nil"/>
        <w:bottom w:val="nil"/>
        <w:right w:val="nil"/>
        <w:between w:val="nil"/>
      </w:pBdr>
      <w:spacing w:after="271"/>
      <w:outlineLvl w:val="0"/>
    </w:pPr>
    <w:rPr>
      <w:rFonts w:ascii="Arial" w:eastAsia="Arial" w:hAnsi="Arial" w:cs="Arial"/>
      <w:b/>
      <w:bCs/>
      <w:color w:val="1F4E79"/>
      <w:sz w:val="28"/>
      <w:szCs w:val="28"/>
      <w:lang w:val="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67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675D"/>
  </w:style>
  <w:style w:type="paragraph" w:styleId="AltBilgi">
    <w:name w:val="footer"/>
    <w:basedOn w:val="Normal"/>
    <w:link w:val="AltBilgiChar"/>
    <w:uiPriority w:val="99"/>
    <w:unhideWhenUsed/>
    <w:rsid w:val="008367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675D"/>
  </w:style>
  <w:style w:type="character" w:customStyle="1" w:styleId="Balk1Char">
    <w:name w:val="Başlık 1 Char"/>
    <w:basedOn w:val="VarsaylanParagrafYazTipi"/>
    <w:link w:val="Balk1"/>
    <w:rsid w:val="0083675D"/>
    <w:rPr>
      <w:rFonts w:ascii="Arial" w:eastAsia="Arial" w:hAnsi="Arial" w:cs="Arial"/>
      <w:b/>
      <w:bCs/>
      <w:color w:val="1F4E79"/>
      <w:sz w:val="28"/>
      <w:szCs w:val="28"/>
      <w:lang w:val="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2076</Words>
  <Characters>11835</Characters>
  <Application>Microsoft Office Word</Application>
  <DocSecurity>0</DocSecurity>
  <Lines>98</Lines>
  <Paragraphs>27</Paragraphs>
  <ScaleCrop>false</ScaleCrop>
  <Company/>
  <LinksUpToDate>false</LinksUpToDate>
  <CharactersWithSpaces>13884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Seda Tekinşen</dc:creator>
  <keywords>, docId:83A07B456A660A52A0FCB8F61CDA5099</keywords>
  <dc:description/>
  <lastModifiedBy>Seda Tekinşen</lastModifiedBy>
  <revision>6</revision>
  <dcterms:created xsi:type="dcterms:W3CDTF">2025-12-13T08:10:00.0000000Z</dcterms:created>
  <dcterms:modified xsi:type="dcterms:W3CDTF">2025-12-14T12:06:00.0000000Z</dcterms:modified>
</coreProperties>
</file>